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DD28" w14:textId="2D657F35" w:rsidR="00FB46DF" w:rsidRPr="000C6094" w:rsidRDefault="00FB46DF">
      <w:pPr>
        <w:rPr>
          <w:sz w:val="32"/>
          <w:szCs w:val="32"/>
        </w:rPr>
      </w:pPr>
      <w:r w:rsidRPr="00F2BB66">
        <w:rPr>
          <w:sz w:val="32"/>
          <w:szCs w:val="32"/>
        </w:rPr>
        <w:t>2.3. Ernstige Dyslexie (ED)</w:t>
      </w:r>
    </w:p>
    <w:p w14:paraId="692CBD19" w14:textId="0B551E2B" w:rsidR="00FB46DF" w:rsidRDefault="5F5D0FD5">
      <w:r>
        <w:t xml:space="preserve">Binnen de </w:t>
      </w:r>
      <w:r w:rsidR="719E995A">
        <w:t xml:space="preserve">ernstige </w:t>
      </w:r>
      <w:r>
        <w:t xml:space="preserve">dyslexie jeugdhulp bestaan </w:t>
      </w:r>
      <w:r w:rsidR="7E4DD52D">
        <w:t>3</w:t>
      </w:r>
      <w:r>
        <w:t xml:space="preserve"> onderdelen: diagnose</w:t>
      </w:r>
      <w:r w:rsidR="793AC18B">
        <w:t>,</w:t>
      </w:r>
      <w:r w:rsidR="47A82B21">
        <w:t xml:space="preserve"> verkorte diagnose en</w:t>
      </w:r>
      <w:r>
        <w:t xml:space="preserve"> behandeling. </w:t>
      </w:r>
      <w:r w:rsidR="4CA1FEE4">
        <w:t>Hieronder volgt per onderdeel de definitie en omvang.</w:t>
      </w:r>
      <w:r>
        <w:t xml:space="preserve"> </w:t>
      </w:r>
    </w:p>
    <w:p w14:paraId="5619F062" w14:textId="528F2E1F" w:rsidR="00F2BB66" w:rsidRDefault="00F2BB66" w:rsidP="00F2BB66"/>
    <w:p w14:paraId="390A3050" w14:textId="0FD69201" w:rsidR="6054EFFC" w:rsidRDefault="6054EFFC" w:rsidP="00F2BB66">
      <w:r w:rsidRPr="39E0C7DB">
        <w:rPr>
          <w:u w:val="single"/>
        </w:rPr>
        <w:t>Diagnose</w:t>
      </w:r>
      <w:r>
        <w:br/>
      </w:r>
      <w:proofErr w:type="spellStart"/>
      <w:r w:rsidR="0A11104B">
        <w:t>Diagnose</w:t>
      </w:r>
      <w:proofErr w:type="spellEnd"/>
      <w:r w:rsidR="0A11104B">
        <w:t xml:space="preserve"> is het begin van een traject Ernstige Dyslexie. </w:t>
      </w:r>
      <w:r w:rsidR="7E4C47C6">
        <w:t xml:space="preserve">Vanuit de diagnose kan </w:t>
      </w:r>
      <w:r w:rsidR="17A10491">
        <w:t>er een</w:t>
      </w:r>
      <w:r w:rsidR="7E4C47C6">
        <w:t xml:space="preserve"> behandelingstraject </w:t>
      </w:r>
      <w:r w:rsidR="3F6C2C10">
        <w:t xml:space="preserve">worden </w:t>
      </w:r>
      <w:r w:rsidR="7E4C47C6">
        <w:t xml:space="preserve">toegewezen. Diagnose bestaat uit een vast tarief en kan eenmalig worden toegekend. </w:t>
      </w:r>
    </w:p>
    <w:p w14:paraId="31AE61A4" w14:textId="0D1EC84D" w:rsidR="7B11E007" w:rsidRDefault="00AA6D0B" w:rsidP="00F2BB66">
      <w:r w:rsidRPr="00AA6D0B">
        <w:t xml:space="preserve">De toekenning voor diagnostiek is </w:t>
      </w:r>
      <w:r w:rsidR="004976F9">
        <w:t>outputgericht</w:t>
      </w:r>
      <w:r w:rsidRPr="00AA6D0B">
        <w:t xml:space="preserve"> en wordt standaard toegekend voor 1 jaar na de begindatum.</w:t>
      </w:r>
      <w:r>
        <w:rPr>
          <w:rStyle w:val="cf01"/>
        </w:rPr>
        <w:t xml:space="preserve"> </w:t>
      </w:r>
      <w:r w:rsidR="55598736">
        <w:t>De zorgaanbieder dient de diagnose te stoppen met een stopzorgbericht (307) alvorens deze een aanvraag indient voor de behandeling.</w:t>
      </w:r>
    </w:p>
    <w:p w14:paraId="4C840779" w14:textId="4BDA3429" w:rsidR="00FB46DF" w:rsidRDefault="00FB46DF">
      <w:r>
        <w:t xml:space="preserve">Diagnose ED wordt toegewezen in de volgende omvang: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5130"/>
      </w:tblGrid>
      <w:tr w:rsidR="39E0C7DB" w14:paraId="41802117" w14:textId="77777777" w:rsidTr="77791B80">
        <w:trPr>
          <w:trHeight w:val="390"/>
        </w:trPr>
        <w:tc>
          <w:tcPr>
            <w:tcW w:w="666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left w:w="108" w:type="dxa"/>
              <w:right w:w="108" w:type="dxa"/>
            </w:tcMar>
          </w:tcPr>
          <w:p w14:paraId="228635B3" w14:textId="7E998310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FFFFFF" w:themeColor="background1"/>
              </w:rPr>
              <w:t>Toewijzen behandeling ED</w:t>
            </w:r>
          </w:p>
        </w:tc>
      </w:tr>
      <w:tr w:rsidR="39E0C7DB" w14:paraId="7F473E21" w14:textId="77777777" w:rsidTr="77791B80">
        <w:trPr>
          <w:trHeight w:val="390"/>
        </w:trPr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5DF149AB" w14:textId="1AB55D70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eenheid</w:t>
            </w:r>
          </w:p>
        </w:tc>
        <w:tc>
          <w:tcPr>
            <w:tcW w:w="5130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023771C6" w14:textId="572D9B50" w:rsidR="39E0C7DB" w:rsidRDefault="50BF15CD" w:rsidP="39E0C7DB">
            <w:pPr>
              <w:spacing w:after="0"/>
            </w:pPr>
            <w:r w:rsidRPr="77791B80">
              <w:rPr>
                <w:rFonts w:ascii="Calibri" w:eastAsia="Calibri" w:hAnsi="Calibri" w:cs="Calibri"/>
                <w:color w:val="000000" w:themeColor="text1"/>
              </w:rPr>
              <w:t xml:space="preserve">stuks </w:t>
            </w:r>
            <w:r w:rsidR="00BE7EEA">
              <w:rPr>
                <w:rFonts w:ascii="Calibri" w:eastAsia="Calibri" w:hAnsi="Calibri" w:cs="Calibri"/>
                <w:color w:val="000000" w:themeColor="text1"/>
              </w:rPr>
              <w:t>outputgericht</w:t>
            </w:r>
            <w:r w:rsidRPr="77791B80">
              <w:rPr>
                <w:rFonts w:ascii="Calibri" w:eastAsia="Calibri" w:hAnsi="Calibri" w:cs="Calibri"/>
                <w:color w:val="000000" w:themeColor="text1"/>
              </w:rPr>
              <w:t xml:space="preserve"> (code 8</w:t>
            </w:r>
            <w:r w:rsidR="00BE7EEA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77791B80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39E0C7DB" w14:paraId="2EFB3352" w14:textId="77777777" w:rsidTr="77791B80">
        <w:trPr>
          <w:trHeight w:val="390"/>
        </w:trPr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5DF7CBB" w14:textId="6DCC99EB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volume</w:t>
            </w:r>
          </w:p>
        </w:tc>
        <w:tc>
          <w:tcPr>
            <w:tcW w:w="51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5443F92" w14:textId="79AC7D12" w:rsidR="4904A2CB" w:rsidRDefault="4904A2C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39E0C7DB" w:rsidRPr="39E0C7DB">
              <w:rPr>
                <w:rFonts w:ascii="Calibri" w:eastAsia="Calibri" w:hAnsi="Calibri" w:cs="Calibri"/>
                <w:color w:val="000000" w:themeColor="text1"/>
              </w:rPr>
              <w:t xml:space="preserve"> stuks</w:t>
            </w:r>
          </w:p>
        </w:tc>
      </w:tr>
      <w:tr w:rsidR="39E0C7DB" w14:paraId="5D8B8060" w14:textId="77777777" w:rsidTr="77791B80">
        <w:trPr>
          <w:trHeight w:val="390"/>
        </w:trPr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56069DC1" w14:textId="507EFC98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frequentie</w:t>
            </w:r>
          </w:p>
        </w:tc>
        <w:tc>
          <w:tcPr>
            <w:tcW w:w="51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5B8C0A0B" w14:textId="34FBE484" w:rsidR="39E0C7DB" w:rsidRDefault="39E0C7DB" w:rsidP="39E0C7D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 xml:space="preserve">Totaal </w:t>
            </w:r>
            <w:r w:rsidR="044432D4" w:rsidRPr="39E0C7DB">
              <w:rPr>
                <w:rFonts w:ascii="Calibri" w:eastAsia="Calibri" w:hAnsi="Calibri" w:cs="Calibri"/>
                <w:color w:val="000000" w:themeColor="text1"/>
              </w:rPr>
              <w:t>binnen geldigheids</w:t>
            </w:r>
            <w:r w:rsidRPr="39E0C7DB">
              <w:rPr>
                <w:rFonts w:ascii="Calibri" w:eastAsia="Calibri" w:hAnsi="Calibri" w:cs="Calibri"/>
                <w:color w:val="000000" w:themeColor="text1"/>
              </w:rPr>
              <w:t>duur beschikking</w:t>
            </w:r>
          </w:p>
        </w:tc>
      </w:tr>
    </w:tbl>
    <w:p w14:paraId="34A036C6" w14:textId="258D0791" w:rsidR="00FB46DF" w:rsidRDefault="00FB46DF" w:rsidP="39E0C7DB"/>
    <w:p w14:paraId="2F74A539" w14:textId="71DEAAD4" w:rsidR="4582BE1B" w:rsidRDefault="4582BE1B" w:rsidP="697597B4">
      <w:pPr>
        <w:rPr>
          <w:rFonts w:ascii="Calibri" w:eastAsia="Calibri" w:hAnsi="Calibri" w:cs="Calibri"/>
        </w:rPr>
      </w:pPr>
      <w:r w:rsidRPr="697597B4">
        <w:rPr>
          <w:u w:val="single"/>
        </w:rPr>
        <w:t>Verkorte Diagnose</w:t>
      </w:r>
      <w:r>
        <w:br/>
      </w:r>
      <w:r w:rsidR="0DD8EADB" w:rsidRPr="697597B4">
        <w:rPr>
          <w:rFonts w:ascii="Calibri" w:eastAsia="Calibri" w:hAnsi="Calibri" w:cs="Calibri"/>
        </w:rPr>
        <w:t xml:space="preserve">Als het gaat om een hernieuwde aanmelding bij dezelfde praktijk </w:t>
      </w:r>
      <w:r w:rsidR="7DBAEA96" w:rsidRPr="697597B4">
        <w:rPr>
          <w:rFonts w:ascii="Calibri" w:eastAsia="Calibri" w:hAnsi="Calibri" w:cs="Calibri"/>
        </w:rPr>
        <w:t>is alleen aanvullend</w:t>
      </w:r>
      <w:r w:rsidR="0DD8EADB" w:rsidRPr="697597B4">
        <w:rPr>
          <w:rFonts w:ascii="Calibri" w:eastAsia="Calibri" w:hAnsi="Calibri" w:cs="Calibri"/>
        </w:rPr>
        <w:t xml:space="preserve">e diagnostiek </w:t>
      </w:r>
      <w:r w:rsidR="106A7BA1" w:rsidRPr="697597B4">
        <w:rPr>
          <w:rFonts w:ascii="Calibri" w:eastAsia="Calibri" w:hAnsi="Calibri" w:cs="Calibri"/>
        </w:rPr>
        <w:t>nodig</w:t>
      </w:r>
      <w:r w:rsidR="0DD8EADB" w:rsidRPr="697597B4">
        <w:rPr>
          <w:rFonts w:ascii="Calibri" w:eastAsia="Calibri" w:hAnsi="Calibri" w:cs="Calibri"/>
        </w:rPr>
        <w:t>. Als het gaat om een hernieuwde aanmelding bij een andere praktijk dient het eerdere rapport inclusief testscores beschikbaar te worden gesteld zodat alleen aanvullende diagnostie</w:t>
      </w:r>
      <w:r w:rsidR="7B4FFD28" w:rsidRPr="697597B4">
        <w:rPr>
          <w:rFonts w:ascii="Calibri" w:eastAsia="Calibri" w:hAnsi="Calibri" w:cs="Calibri"/>
        </w:rPr>
        <w:t>k kan worden uitgevoerd.</w:t>
      </w:r>
    </w:p>
    <w:p w14:paraId="186F128D" w14:textId="1C6CB813" w:rsidR="2AB172A4" w:rsidRDefault="2AB172A4">
      <w:r>
        <w:t>De verkorte diagnose wordt op dezelfde wijze als diagnose toegewezen, maar met een andere productcode. Er geldt hier een lager tarief voor.</w:t>
      </w:r>
    </w:p>
    <w:p w14:paraId="2332822F" w14:textId="0B6D626F" w:rsidR="39E0C7DB" w:rsidRDefault="39E0C7DB" w:rsidP="39E0C7DB"/>
    <w:p w14:paraId="172990D4" w14:textId="7869E5A4" w:rsidR="17A3B831" w:rsidRDefault="17A3B831" w:rsidP="00F2BB66">
      <w:r w:rsidRPr="697597B4">
        <w:rPr>
          <w:u w:val="single"/>
        </w:rPr>
        <w:t>Behandeling</w:t>
      </w:r>
      <w:r>
        <w:br/>
      </w:r>
      <w:r w:rsidR="71FD2ACE">
        <w:t xml:space="preserve">Als na inzet van diagnose blijkt dat er behandeling nodig is, kan er een aanvraag behandeling worden ingediend. </w:t>
      </w:r>
      <w:r w:rsidR="10F4D015">
        <w:t xml:space="preserve"> </w:t>
      </w:r>
      <w:r w:rsidR="49A917EA">
        <w:t xml:space="preserve">Behandeling </w:t>
      </w:r>
      <w:r w:rsidR="557510CC">
        <w:t xml:space="preserve">wordt toegewezen in een bulk van </w:t>
      </w:r>
      <w:r w:rsidR="49A917EA">
        <w:t xml:space="preserve">60 </w:t>
      </w:r>
      <w:r w:rsidR="6139D950">
        <w:t>sessies met een vast tarief per sessie, en iedere sessie kan los worden gedeclareerd.</w:t>
      </w:r>
      <w:r w:rsidR="41107E0B">
        <w:t xml:space="preserve"> Meer sessies zijn </w:t>
      </w:r>
      <w:r w:rsidR="41107E0B" w:rsidRPr="697597B4">
        <w:rPr>
          <w:u w:val="single"/>
        </w:rPr>
        <w:t>niet</w:t>
      </w:r>
      <w:r w:rsidR="41107E0B">
        <w:t xml:space="preserve"> toegestaan.</w:t>
      </w:r>
    </w:p>
    <w:p w14:paraId="694505BD" w14:textId="5C527983" w:rsidR="00A820C2" w:rsidRPr="00A820C2" w:rsidRDefault="00A820C2" w:rsidP="5384A425">
      <w:pPr>
        <w:pStyle w:val="pf0"/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5384A425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De toekenning voor behandeling is </w:t>
      </w:r>
      <w:r w:rsidR="14364F9C" w:rsidRPr="5384A425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inspanningsgericht </w:t>
      </w:r>
      <w:r w:rsidRPr="5384A425"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en wordt standaard toegekend voor 2 jaar na de begindatum. </w:t>
      </w:r>
    </w:p>
    <w:p w14:paraId="10173954" w14:textId="52215DE9" w:rsidR="3DE94052" w:rsidRDefault="3DE94052" w:rsidP="3DE94052">
      <w:pPr>
        <w:pStyle w:val="pf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45A9254F" w14:textId="77777777" w:rsidR="00A14897" w:rsidRDefault="00A14897">
      <w:r>
        <w:br w:type="page"/>
      </w:r>
    </w:p>
    <w:p w14:paraId="029CC9D2" w14:textId="4E08E0E9" w:rsidR="00FB46DF" w:rsidRDefault="00FB46DF">
      <w:r>
        <w:lastRenderedPageBreak/>
        <w:t xml:space="preserve">Behandeling ED wordt toegewezen in de volgende omvang: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5130"/>
      </w:tblGrid>
      <w:tr w:rsidR="39E0C7DB" w14:paraId="1E55E998" w14:textId="77777777" w:rsidTr="5384A425">
        <w:trPr>
          <w:trHeight w:val="390"/>
        </w:trPr>
        <w:tc>
          <w:tcPr>
            <w:tcW w:w="666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left w:w="108" w:type="dxa"/>
              <w:right w:w="108" w:type="dxa"/>
            </w:tcMar>
          </w:tcPr>
          <w:p w14:paraId="12AD11EB" w14:textId="038F7604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FFFFFF" w:themeColor="background1"/>
              </w:rPr>
              <w:t>Toewijzen behandeling ED</w:t>
            </w:r>
          </w:p>
        </w:tc>
      </w:tr>
      <w:tr w:rsidR="39E0C7DB" w14:paraId="3CAECA89" w14:textId="77777777" w:rsidTr="5384A425">
        <w:trPr>
          <w:trHeight w:val="390"/>
        </w:trPr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7CC8A08D" w14:textId="10EE66B7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eenheid</w:t>
            </w:r>
          </w:p>
        </w:tc>
        <w:tc>
          <w:tcPr>
            <w:tcW w:w="5130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54D92C31" w14:textId="4F48595F" w:rsidR="39E0C7DB" w:rsidRDefault="0B17B7B1" w:rsidP="39E0C7DB">
            <w:pPr>
              <w:spacing w:after="0"/>
            </w:pPr>
            <w:r w:rsidRPr="5384A425">
              <w:rPr>
                <w:rFonts w:ascii="Calibri" w:eastAsia="Calibri" w:hAnsi="Calibri" w:cs="Calibri"/>
                <w:color w:val="000000" w:themeColor="text1"/>
              </w:rPr>
              <w:t xml:space="preserve">Uur </w:t>
            </w:r>
            <w:r w:rsidR="39E0C7DB" w:rsidRPr="5384A425">
              <w:rPr>
                <w:rFonts w:ascii="Calibri" w:eastAsia="Calibri" w:hAnsi="Calibri" w:cs="Calibri"/>
                <w:color w:val="000000" w:themeColor="text1"/>
              </w:rPr>
              <w:t>(code 8</w:t>
            </w:r>
            <w:r w:rsidR="73833116" w:rsidRPr="5384A425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="39E0C7DB" w:rsidRPr="5384A425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39E0C7DB" w14:paraId="2EA2C619" w14:textId="77777777" w:rsidTr="5384A425">
        <w:trPr>
          <w:trHeight w:val="390"/>
        </w:trPr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105518F4" w14:textId="207C0240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volume</w:t>
            </w:r>
          </w:p>
        </w:tc>
        <w:tc>
          <w:tcPr>
            <w:tcW w:w="51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B5FCD2A" w14:textId="6C673DD4" w:rsidR="39E0C7DB" w:rsidRDefault="39E0C7DB" w:rsidP="5384A42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384A425">
              <w:rPr>
                <w:rFonts w:ascii="Calibri" w:eastAsia="Calibri" w:hAnsi="Calibri" w:cs="Calibri"/>
                <w:color w:val="000000" w:themeColor="text1"/>
              </w:rPr>
              <w:t xml:space="preserve">60 </w:t>
            </w:r>
          </w:p>
        </w:tc>
      </w:tr>
      <w:tr w:rsidR="39E0C7DB" w14:paraId="48FEA8B6" w14:textId="77777777" w:rsidTr="5384A425">
        <w:trPr>
          <w:trHeight w:val="390"/>
        </w:trPr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4493188B" w14:textId="58BDF468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frequentie</w:t>
            </w:r>
          </w:p>
        </w:tc>
        <w:tc>
          <w:tcPr>
            <w:tcW w:w="51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10826EAD" w14:textId="1004A742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 xml:space="preserve">Totaal </w:t>
            </w:r>
            <w:r w:rsidR="03DF0F79" w:rsidRPr="39E0C7DB">
              <w:rPr>
                <w:rFonts w:ascii="Calibri" w:eastAsia="Calibri" w:hAnsi="Calibri" w:cs="Calibri"/>
                <w:color w:val="000000" w:themeColor="text1"/>
              </w:rPr>
              <w:t>binnen geldigheids</w:t>
            </w:r>
            <w:r w:rsidRPr="39E0C7DB">
              <w:rPr>
                <w:rFonts w:ascii="Calibri" w:eastAsia="Calibri" w:hAnsi="Calibri" w:cs="Calibri"/>
                <w:color w:val="000000" w:themeColor="text1"/>
              </w:rPr>
              <w:t>duur beschikking</w:t>
            </w:r>
          </w:p>
        </w:tc>
      </w:tr>
    </w:tbl>
    <w:p w14:paraId="5ADED08D" w14:textId="1E60F78C" w:rsidR="39E0C7DB" w:rsidRDefault="39E0C7DB" w:rsidP="39E0C7DB"/>
    <w:p w14:paraId="26E90EBA" w14:textId="721CD1AC" w:rsidR="000C6094" w:rsidRPr="000C6094" w:rsidRDefault="000C6094">
      <w:pPr>
        <w:rPr>
          <w:sz w:val="32"/>
          <w:szCs w:val="32"/>
        </w:rPr>
      </w:pPr>
      <w:r w:rsidRPr="00F2BB66">
        <w:rPr>
          <w:sz w:val="32"/>
          <w:szCs w:val="32"/>
        </w:rPr>
        <w:t xml:space="preserve">6.6 Betaling van ED diagnose en/of behandeling </w:t>
      </w:r>
    </w:p>
    <w:p w14:paraId="3BA5C5EF" w14:textId="3801578C" w:rsidR="4FDCA8BB" w:rsidRDefault="4FDCA8BB" w:rsidP="00F2BB66">
      <w:r>
        <w:t xml:space="preserve">Voor </w:t>
      </w:r>
      <w:r w:rsidR="4417E037">
        <w:t xml:space="preserve">(verkorte) </w:t>
      </w:r>
      <w:r>
        <w:t>diagnose geldt:</w:t>
      </w:r>
    </w:p>
    <w:p w14:paraId="37450173" w14:textId="4905B032" w:rsidR="64C56D9E" w:rsidRDefault="337C3558" w:rsidP="00F2BB66">
      <w:pPr>
        <w:pStyle w:val="Lijstalinea"/>
        <w:numPr>
          <w:ilvl w:val="0"/>
          <w:numId w:val="5"/>
        </w:numPr>
      </w:pPr>
      <w:r>
        <w:t>Dat h</w:t>
      </w:r>
      <w:r w:rsidR="64C56D9E">
        <w:t>et volledige bedrag eenmalig wordt uitgekeerd;</w:t>
      </w:r>
    </w:p>
    <w:p w14:paraId="49B4FA51" w14:textId="65AE017B" w:rsidR="2A48D667" w:rsidRDefault="2A48D667" w:rsidP="00F2BB66">
      <w:r>
        <w:t>Voor behandeling geldt:</w:t>
      </w:r>
    </w:p>
    <w:p w14:paraId="62ECADA3" w14:textId="01657897" w:rsidR="236A52D0" w:rsidRDefault="33CE3EA5" w:rsidP="00F2BB66">
      <w:pPr>
        <w:pStyle w:val="Lijstalinea"/>
        <w:numPr>
          <w:ilvl w:val="0"/>
          <w:numId w:val="1"/>
        </w:numPr>
      </w:pPr>
      <w:r>
        <w:t>Dat de sessies maandelijks kunnen worden gedeclareerd;</w:t>
      </w:r>
    </w:p>
    <w:p w14:paraId="7CC69FEB" w14:textId="716D67C9" w:rsidR="5CD69685" w:rsidRDefault="5CD69685" w:rsidP="009C5A44">
      <w:pPr>
        <w:pStyle w:val="Lijstalinea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5"/>
        <w:gridCol w:w="4680"/>
      </w:tblGrid>
      <w:tr w:rsidR="39E0C7DB" w14:paraId="3CBCB2DE" w14:textId="77777777" w:rsidTr="5384A425">
        <w:trPr>
          <w:trHeight w:val="390"/>
        </w:trPr>
        <w:tc>
          <w:tcPr>
            <w:tcW w:w="850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left w:w="108" w:type="dxa"/>
              <w:right w:w="108" w:type="dxa"/>
            </w:tcMar>
          </w:tcPr>
          <w:p w14:paraId="033676B4" w14:textId="235D7BE1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FFFFFF" w:themeColor="background1"/>
              </w:rPr>
              <w:t>Berichtenwaarden bij declareren behandeling ED</w:t>
            </w:r>
          </w:p>
        </w:tc>
      </w:tr>
      <w:tr w:rsidR="39E0C7DB" w14:paraId="31A96148" w14:textId="77777777" w:rsidTr="5384A425">
        <w:trPr>
          <w:trHeight w:val="390"/>
        </w:trPr>
        <w:tc>
          <w:tcPr>
            <w:tcW w:w="3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411C628" w14:textId="42E00788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>Geleverd volume</w:t>
            </w:r>
          </w:p>
        </w:tc>
        <w:tc>
          <w:tcPr>
            <w:tcW w:w="4680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474BBFA1" w14:textId="6DB65EA5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>Werkelijk gebruik</w:t>
            </w:r>
          </w:p>
        </w:tc>
      </w:tr>
      <w:tr w:rsidR="39E0C7DB" w14:paraId="57501C62" w14:textId="77777777" w:rsidTr="5384A425">
        <w:trPr>
          <w:trHeight w:val="390"/>
        </w:trPr>
        <w:tc>
          <w:tcPr>
            <w:tcW w:w="3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628252F" w14:textId="24184EC3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>Product periode: begindatum</w:t>
            </w:r>
          </w:p>
        </w:tc>
        <w:tc>
          <w:tcPr>
            <w:tcW w:w="4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0011F45" w14:textId="0554C51B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>Eerste dag van levering binnen de declaratieperiode</w:t>
            </w:r>
          </w:p>
        </w:tc>
      </w:tr>
      <w:tr w:rsidR="39E0C7DB" w14:paraId="0BDA1C16" w14:textId="77777777" w:rsidTr="5384A425">
        <w:trPr>
          <w:trHeight w:val="390"/>
        </w:trPr>
        <w:tc>
          <w:tcPr>
            <w:tcW w:w="3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628E8505" w14:textId="32DEB72B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 xml:space="preserve">Product periode: einddatum </w:t>
            </w:r>
          </w:p>
        </w:tc>
        <w:tc>
          <w:tcPr>
            <w:tcW w:w="4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14:paraId="4F7BA695" w14:textId="3B77FD58" w:rsidR="39E0C7DB" w:rsidRDefault="39E0C7DB" w:rsidP="39E0C7DB">
            <w:pPr>
              <w:spacing w:after="0"/>
            </w:pPr>
            <w:r w:rsidRPr="39E0C7DB">
              <w:rPr>
                <w:rFonts w:ascii="Calibri" w:eastAsia="Calibri" w:hAnsi="Calibri" w:cs="Calibri"/>
                <w:color w:val="000000" w:themeColor="text1"/>
              </w:rPr>
              <w:t>Laatste dag van levering binnen de declaratieperiode</w:t>
            </w:r>
          </w:p>
        </w:tc>
      </w:tr>
    </w:tbl>
    <w:p w14:paraId="21D1D5A2" w14:textId="77777777" w:rsidR="00793400" w:rsidRDefault="00793400"/>
    <w:p w14:paraId="59436490" w14:textId="77777777" w:rsidR="00793400" w:rsidRDefault="00793400"/>
    <w:p w14:paraId="3AE9EC2E" w14:textId="77777777" w:rsidR="00793400" w:rsidRDefault="00793400"/>
    <w:sectPr w:rsidR="0079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C48"/>
    <w:multiLevelType w:val="hybridMultilevel"/>
    <w:tmpl w:val="9D16B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7226"/>
    <w:multiLevelType w:val="hybridMultilevel"/>
    <w:tmpl w:val="BAE8034E"/>
    <w:lvl w:ilvl="0" w:tplc="10D86A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6A41A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230AE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EBC09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93A6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CF8F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C22D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4BED7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7CAD0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5D20FD4"/>
    <w:multiLevelType w:val="hybridMultilevel"/>
    <w:tmpl w:val="DDF46296"/>
    <w:lvl w:ilvl="0" w:tplc="46B05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7158"/>
    <w:multiLevelType w:val="hybridMultilevel"/>
    <w:tmpl w:val="EAA2D1BE"/>
    <w:lvl w:ilvl="0" w:tplc="46B05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B64D6"/>
    <w:multiLevelType w:val="hybridMultilevel"/>
    <w:tmpl w:val="58FE5E42"/>
    <w:lvl w:ilvl="0" w:tplc="46B05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CFD6"/>
    <w:multiLevelType w:val="hybridMultilevel"/>
    <w:tmpl w:val="6468714E"/>
    <w:lvl w:ilvl="0" w:tplc="2EEA4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66B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A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6A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E3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E1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82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24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45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07751">
    <w:abstractNumId w:val="5"/>
  </w:num>
  <w:num w:numId="2" w16cid:durableId="44257562">
    <w:abstractNumId w:val="3"/>
  </w:num>
  <w:num w:numId="3" w16cid:durableId="2107074201">
    <w:abstractNumId w:val="4"/>
  </w:num>
  <w:num w:numId="4" w16cid:durableId="879828624">
    <w:abstractNumId w:val="2"/>
  </w:num>
  <w:num w:numId="5" w16cid:durableId="279144688">
    <w:abstractNumId w:val="0"/>
  </w:num>
  <w:num w:numId="6" w16cid:durableId="64690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0"/>
    <w:rsid w:val="00012824"/>
    <w:rsid w:val="000C6094"/>
    <w:rsid w:val="0017280F"/>
    <w:rsid w:val="00190BFC"/>
    <w:rsid w:val="00203122"/>
    <w:rsid w:val="00283438"/>
    <w:rsid w:val="00330688"/>
    <w:rsid w:val="004530C7"/>
    <w:rsid w:val="004536A2"/>
    <w:rsid w:val="00467B54"/>
    <w:rsid w:val="004976F9"/>
    <w:rsid w:val="004A7A9D"/>
    <w:rsid w:val="004C1A88"/>
    <w:rsid w:val="004D17AB"/>
    <w:rsid w:val="00547E0B"/>
    <w:rsid w:val="005C1582"/>
    <w:rsid w:val="006B2CB9"/>
    <w:rsid w:val="006C3ADA"/>
    <w:rsid w:val="00793400"/>
    <w:rsid w:val="00874516"/>
    <w:rsid w:val="009466A5"/>
    <w:rsid w:val="00950934"/>
    <w:rsid w:val="00966037"/>
    <w:rsid w:val="009B381C"/>
    <w:rsid w:val="009C5A44"/>
    <w:rsid w:val="00A00E65"/>
    <w:rsid w:val="00A14897"/>
    <w:rsid w:val="00A70974"/>
    <w:rsid w:val="00A820C2"/>
    <w:rsid w:val="00AA6D0B"/>
    <w:rsid w:val="00AC48BD"/>
    <w:rsid w:val="00AD1FEC"/>
    <w:rsid w:val="00B647DA"/>
    <w:rsid w:val="00BA3003"/>
    <w:rsid w:val="00BE349C"/>
    <w:rsid w:val="00BE7EEA"/>
    <w:rsid w:val="00C62C65"/>
    <w:rsid w:val="00C71129"/>
    <w:rsid w:val="00CB0D51"/>
    <w:rsid w:val="00CC536F"/>
    <w:rsid w:val="00CCD0EF"/>
    <w:rsid w:val="00DA04CA"/>
    <w:rsid w:val="00DD2738"/>
    <w:rsid w:val="00E673F2"/>
    <w:rsid w:val="00EE680F"/>
    <w:rsid w:val="00F2BB66"/>
    <w:rsid w:val="00FA32CF"/>
    <w:rsid w:val="00FB46DF"/>
    <w:rsid w:val="02475119"/>
    <w:rsid w:val="02F7FC35"/>
    <w:rsid w:val="03DF0F79"/>
    <w:rsid w:val="044432D4"/>
    <w:rsid w:val="073DB6DB"/>
    <w:rsid w:val="0753D1F2"/>
    <w:rsid w:val="07D35ADE"/>
    <w:rsid w:val="096F2B3F"/>
    <w:rsid w:val="09A3E27B"/>
    <w:rsid w:val="0A11104B"/>
    <w:rsid w:val="0AA97AC0"/>
    <w:rsid w:val="0B17B7B1"/>
    <w:rsid w:val="0B3FB2DC"/>
    <w:rsid w:val="0B6FEA0A"/>
    <w:rsid w:val="0BB3090E"/>
    <w:rsid w:val="0C8DA3A4"/>
    <w:rsid w:val="0CDB833D"/>
    <w:rsid w:val="0D98344D"/>
    <w:rsid w:val="0DD8EADB"/>
    <w:rsid w:val="0E07887F"/>
    <w:rsid w:val="0E18392E"/>
    <w:rsid w:val="0E297405"/>
    <w:rsid w:val="0F1D36F8"/>
    <w:rsid w:val="0F2FA063"/>
    <w:rsid w:val="0FDE6CC3"/>
    <w:rsid w:val="106A7BA1"/>
    <w:rsid w:val="10F4D015"/>
    <w:rsid w:val="110F5245"/>
    <w:rsid w:val="123BAF5D"/>
    <w:rsid w:val="13E6F06B"/>
    <w:rsid w:val="13FBEE49"/>
    <w:rsid w:val="14364F9C"/>
    <w:rsid w:val="14B1DDE6"/>
    <w:rsid w:val="1573501F"/>
    <w:rsid w:val="1597BEAA"/>
    <w:rsid w:val="15DA5815"/>
    <w:rsid w:val="16042F40"/>
    <w:rsid w:val="164DAE47"/>
    <w:rsid w:val="16613B4F"/>
    <w:rsid w:val="17018976"/>
    <w:rsid w:val="170F2080"/>
    <w:rsid w:val="17A10491"/>
    <w:rsid w:val="17A3B831"/>
    <w:rsid w:val="1890A91D"/>
    <w:rsid w:val="1897F6BB"/>
    <w:rsid w:val="18AAF0E1"/>
    <w:rsid w:val="18BD8FCE"/>
    <w:rsid w:val="1A7FB6E7"/>
    <w:rsid w:val="1ACC1910"/>
    <w:rsid w:val="1BE291A3"/>
    <w:rsid w:val="1C499999"/>
    <w:rsid w:val="1C5DE89C"/>
    <w:rsid w:val="1CA3C76E"/>
    <w:rsid w:val="1DA2D08F"/>
    <w:rsid w:val="1E566F7C"/>
    <w:rsid w:val="1F68C57A"/>
    <w:rsid w:val="21A9C5B9"/>
    <w:rsid w:val="2259C0AD"/>
    <w:rsid w:val="236A52D0"/>
    <w:rsid w:val="264AA9B4"/>
    <w:rsid w:val="270C091A"/>
    <w:rsid w:val="28A6A326"/>
    <w:rsid w:val="2942228C"/>
    <w:rsid w:val="2958C0DF"/>
    <w:rsid w:val="2A48D667"/>
    <w:rsid w:val="2AB172A4"/>
    <w:rsid w:val="2B3BC718"/>
    <w:rsid w:val="2B5C3A80"/>
    <w:rsid w:val="2BFD1E59"/>
    <w:rsid w:val="2C25117E"/>
    <w:rsid w:val="2F1F1B58"/>
    <w:rsid w:val="2FC39474"/>
    <w:rsid w:val="3032394A"/>
    <w:rsid w:val="30BAEBB9"/>
    <w:rsid w:val="30F882A1"/>
    <w:rsid w:val="3335E58F"/>
    <w:rsid w:val="3374E241"/>
    <w:rsid w:val="337C3558"/>
    <w:rsid w:val="33CE3EA5"/>
    <w:rsid w:val="3552BAC7"/>
    <w:rsid w:val="35906B6A"/>
    <w:rsid w:val="363824AB"/>
    <w:rsid w:val="365C1CDE"/>
    <w:rsid w:val="3743559A"/>
    <w:rsid w:val="38AB0DE5"/>
    <w:rsid w:val="38BD5CC1"/>
    <w:rsid w:val="38DF25FB"/>
    <w:rsid w:val="39B4D7AD"/>
    <w:rsid w:val="39E0C7DB"/>
    <w:rsid w:val="3DB2971E"/>
    <w:rsid w:val="3DE94052"/>
    <w:rsid w:val="3F31698D"/>
    <w:rsid w:val="3F6C2C10"/>
    <w:rsid w:val="41107E0B"/>
    <w:rsid w:val="4171C375"/>
    <w:rsid w:val="41ABAA19"/>
    <w:rsid w:val="436BE905"/>
    <w:rsid w:val="4417E037"/>
    <w:rsid w:val="4582BE1B"/>
    <w:rsid w:val="46400E02"/>
    <w:rsid w:val="46573501"/>
    <w:rsid w:val="46A389C7"/>
    <w:rsid w:val="474D01A8"/>
    <w:rsid w:val="47597964"/>
    <w:rsid w:val="47A82B21"/>
    <w:rsid w:val="48588285"/>
    <w:rsid w:val="48AE0C79"/>
    <w:rsid w:val="4904A2CB"/>
    <w:rsid w:val="49A917EA"/>
    <w:rsid w:val="4B298AF9"/>
    <w:rsid w:val="4B76FAEA"/>
    <w:rsid w:val="4CA1FEE4"/>
    <w:rsid w:val="4CAD3180"/>
    <w:rsid w:val="4FDCA8BB"/>
    <w:rsid w:val="501B154A"/>
    <w:rsid w:val="50BF15CD"/>
    <w:rsid w:val="50CD519D"/>
    <w:rsid w:val="5102C532"/>
    <w:rsid w:val="5384A425"/>
    <w:rsid w:val="543E72E1"/>
    <w:rsid w:val="55307CEA"/>
    <w:rsid w:val="55598736"/>
    <w:rsid w:val="557510CC"/>
    <w:rsid w:val="55C291F6"/>
    <w:rsid w:val="56953F06"/>
    <w:rsid w:val="57B493C1"/>
    <w:rsid w:val="57D4AEC3"/>
    <w:rsid w:val="57F9EFB3"/>
    <w:rsid w:val="5CA7FEE3"/>
    <w:rsid w:val="5CD69685"/>
    <w:rsid w:val="5D1DA8E7"/>
    <w:rsid w:val="5D365A8E"/>
    <w:rsid w:val="5F5D0FD5"/>
    <w:rsid w:val="5FB88269"/>
    <w:rsid w:val="5FC392CC"/>
    <w:rsid w:val="60073406"/>
    <w:rsid w:val="6054EFFC"/>
    <w:rsid w:val="608426B9"/>
    <w:rsid w:val="6139D950"/>
    <w:rsid w:val="6373C20E"/>
    <w:rsid w:val="637A15E5"/>
    <w:rsid w:val="648E97DE"/>
    <w:rsid w:val="64C56D9E"/>
    <w:rsid w:val="6528BACC"/>
    <w:rsid w:val="657FB67F"/>
    <w:rsid w:val="65A208CF"/>
    <w:rsid w:val="660B42E8"/>
    <w:rsid w:val="66304B82"/>
    <w:rsid w:val="68814898"/>
    <w:rsid w:val="691AF45D"/>
    <w:rsid w:val="697597B4"/>
    <w:rsid w:val="6AD2090B"/>
    <w:rsid w:val="6B587761"/>
    <w:rsid w:val="6BEDC96F"/>
    <w:rsid w:val="6CB65EE5"/>
    <w:rsid w:val="6DD496D5"/>
    <w:rsid w:val="70A98D1C"/>
    <w:rsid w:val="719E995A"/>
    <w:rsid w:val="71B5376C"/>
    <w:rsid w:val="71FD2ACE"/>
    <w:rsid w:val="72919059"/>
    <w:rsid w:val="72D09D93"/>
    <w:rsid w:val="72F50C1E"/>
    <w:rsid w:val="7381B851"/>
    <w:rsid w:val="73833116"/>
    <w:rsid w:val="762CACE0"/>
    <w:rsid w:val="76883B1D"/>
    <w:rsid w:val="776043E3"/>
    <w:rsid w:val="77791B80"/>
    <w:rsid w:val="78CE3C38"/>
    <w:rsid w:val="7937306F"/>
    <w:rsid w:val="793AC18B"/>
    <w:rsid w:val="79B907D8"/>
    <w:rsid w:val="7B11E007"/>
    <w:rsid w:val="7B4FFD28"/>
    <w:rsid w:val="7BCC4AF6"/>
    <w:rsid w:val="7BFDD217"/>
    <w:rsid w:val="7C193D45"/>
    <w:rsid w:val="7D92A1B2"/>
    <w:rsid w:val="7DBAEA96"/>
    <w:rsid w:val="7E4C47C6"/>
    <w:rsid w:val="7E4DD52D"/>
    <w:rsid w:val="7F7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41B3"/>
  <w15:chartTrackingRefBased/>
  <w15:docId w15:val="{5FFFE0F0-9C59-4D1B-9478-BE199153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3400"/>
    <w:pPr>
      <w:ind w:left="720"/>
      <w:contextualSpacing/>
    </w:pPr>
  </w:style>
  <w:style w:type="paragraph" w:customStyle="1" w:styleId="Tussenkopje">
    <w:name w:val="Tussenkopje"/>
    <w:basedOn w:val="Standaard"/>
    <w:rsid w:val="00DD2738"/>
    <w:pPr>
      <w:spacing w:after="0" w:line="257" w:lineRule="atLeast"/>
    </w:pPr>
    <w:rPr>
      <w:rFonts w:ascii="Frutiger LT 55 Roman" w:hAnsi="Frutiger LT 55 Roman" w:cs="Calibri"/>
      <w:b/>
      <w:bCs/>
      <w:spacing w:val="10"/>
      <w:kern w:val="0"/>
      <w:sz w:val="21"/>
      <w:szCs w:val="21"/>
      <w:lang w:eastAsia="nl-NL"/>
      <w14:ligatures w14:val="none"/>
    </w:rPr>
  </w:style>
  <w:style w:type="table" w:styleId="Tabelraster">
    <w:name w:val="Table Grid"/>
    <w:basedOn w:val="Standaardtabel"/>
    <w:uiPriority w:val="39"/>
    <w:rsid w:val="00FB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60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609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60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C60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C60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60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6094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AA6D0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A8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B4BA89CC3A42A210ED8C5C0AC002" ma:contentTypeVersion="6" ma:contentTypeDescription="Een nieuw document maken." ma:contentTypeScope="" ma:versionID="a95843a86358243979f30e02fd16bbe8">
  <xsd:schema xmlns:xsd="http://www.w3.org/2001/XMLSchema" xmlns:xs="http://www.w3.org/2001/XMLSchema" xmlns:p="http://schemas.microsoft.com/office/2006/metadata/properties" xmlns:ns2="483f7e3d-8045-46bf-9649-84198b70ee4d" xmlns:ns3="1987f7ad-dd24-4f08-9a5b-43b211498373" targetNamespace="http://schemas.microsoft.com/office/2006/metadata/properties" ma:root="true" ma:fieldsID="68c47fd500340d254fde9cc04a9617c8" ns2:_="" ns3:_="">
    <xsd:import namespace="483f7e3d-8045-46bf-9649-84198b70ee4d"/>
    <xsd:import namespace="1987f7ad-dd24-4f08-9a5b-43b21149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f7e3d-8045-46bf-9649-84198b70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7f7ad-dd24-4f08-9a5b-43b211498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80474-47EA-46F2-8699-B2C44AEA7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926DD-9E1B-41DD-997F-F43B44CCA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95767-727A-418F-A2B7-1DA5EE19A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f7e3d-8045-46bf-9649-84198b70ee4d"/>
    <ds:schemaRef ds:uri="1987f7ad-dd24-4f08-9a5b-43b21149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Chiel de Oude</dc:creator>
  <cp:keywords/>
  <dc:description/>
  <cp:lastModifiedBy>Savannah Taylor</cp:lastModifiedBy>
  <cp:revision>2</cp:revision>
  <cp:lastPrinted>2023-11-06T08:33:00Z</cp:lastPrinted>
  <dcterms:created xsi:type="dcterms:W3CDTF">2025-06-18T09:22:00Z</dcterms:created>
  <dcterms:modified xsi:type="dcterms:W3CDTF">2025-06-18T09:22:00Z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0x0101007583B4BA89CC3A42A210ED8C5C0AC002</vt:lpwstr>
  </property>
</Properties>
</file>